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COMUNE DI ……………………….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327563</wp:posOffset>
                </wp:positionH>
                <wp:positionV relativeFrom="paragraph">
                  <wp:posOffset>-318183</wp:posOffset>
                </wp:positionV>
                <wp:extent cx="694481" cy="886155"/>
                <wp:effectExtent b="15875" l="12700" r="17145" t="1270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81" cy="8861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327563</wp:posOffset>
                </wp:positionH>
                <wp:positionV relativeFrom="paragraph">
                  <wp:posOffset>-318183</wp:posOffset>
                </wp:positionV>
                <wp:extent cx="724326" cy="91473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4326" cy="914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Provincia di ………………………….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L'anno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duemilaventuno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il giorno </w:t>
      </w:r>
      <w:r w:rsidDel="00000000" w:rsidR="00000000" w:rsidRPr="00000000">
        <w:rPr>
          <w:rFonts w:ascii="Garamond" w:cs="Garamond" w:eastAsia="Garamond" w:hAnsi="Garamond"/>
          <w:b w:val="1"/>
          <w:highlight w:val="yellow"/>
          <w:rtl w:val="0"/>
        </w:rPr>
        <w:t xml:space="preserve">……….….….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del mese di </w:t>
      </w:r>
      <w:r w:rsidDel="00000000" w:rsidR="00000000" w:rsidRPr="00000000">
        <w:rPr>
          <w:rFonts w:ascii="Garamond" w:cs="Garamond" w:eastAsia="Garamond" w:hAnsi="Garamond"/>
          <w:b w:val="1"/>
          <w:highlight w:val="yellow"/>
          <w:rtl w:val="0"/>
        </w:rPr>
        <w:t xml:space="preserve">…………………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in </w:t>
      </w:r>
      <w:r w:rsidDel="00000000" w:rsidR="00000000" w:rsidRPr="00000000">
        <w:rPr>
          <w:rFonts w:ascii="Garamond" w:cs="Garamond" w:eastAsia="Garamond" w:hAnsi="Garamond"/>
          <w:b w:val="1"/>
          <w:highlight w:val="yellow"/>
          <w:rtl w:val="0"/>
        </w:rPr>
        <w:t xml:space="preserve">……………..…………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nella sede comunale convocata nei modi e termini di legge, con l’osservanza delle prescritte formalità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si è riunito il Consiglio Comunale in sessione straordinaria ed in seduta pubblica di prima convocazione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nelle persone dei Signori: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…………… …………………….. ,  </w:t>
      </w:r>
      <w:r w:rsidDel="00000000" w:rsidR="00000000" w:rsidRPr="00000000">
        <w:rPr>
          <w:rFonts w:ascii="Garamond" w:cs="Garamond" w:eastAsia="Garamond" w:hAnsi="Garamond"/>
          <w:highlight w:val="yellow"/>
          <w:rtl w:val="0"/>
        </w:rPr>
        <w:t xml:space="preserve">………… </w:t>
      </w:r>
      <w:r w:rsidDel="00000000" w:rsidR="00000000" w:rsidRPr="00000000">
        <w:rPr>
          <w:rFonts w:ascii="Garamond" w:cs="Garamond" w:eastAsia="Garamond" w:hAnsi="Garamond"/>
          <w:i w:val="1"/>
          <w:color w:val="c0504d"/>
          <w:highlight w:val="yellow"/>
          <w:rtl w:val="0"/>
        </w:rPr>
        <w:t xml:space="preserve">(omissis)</w:t>
      </w:r>
      <w:r w:rsidDel="00000000" w:rsidR="00000000" w:rsidRPr="00000000">
        <w:rPr>
          <w:rFonts w:ascii="Garamond" w:cs="Garamond" w:eastAsia="Garamond" w:hAnsi="Garamond"/>
          <w:color w:val="c0504d"/>
          <w:highlight w:val="yellow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highlight w:val="yellow"/>
          <w:rtl w:val="0"/>
        </w:rPr>
        <w:t xml:space="preserve">……………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,  …………… ……….………….. , 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…………… …………………….. ,  …………… ……….………….. ,  …………… ……….………….. , 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…………… …………………….. ,  …………… ……….………….. ,  …………… ……….………….. , </w:t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…………… …………………….. ,  …………… ……….………….. ,  …………… ……….………….. , </w:t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risultano presenti n. </w:t>
      </w:r>
      <w:r w:rsidDel="00000000" w:rsidR="00000000" w:rsidRPr="00000000">
        <w:rPr>
          <w:rFonts w:ascii="Garamond" w:cs="Garamond" w:eastAsia="Garamond" w:hAnsi="Garamond"/>
          <w:b w:val="1"/>
          <w:highlight w:val="yellow"/>
          <w:rtl w:val="0"/>
        </w:rPr>
        <w:t xml:space="preserve">000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e risultano assenti n. </w:t>
      </w:r>
      <w:r w:rsidDel="00000000" w:rsidR="00000000" w:rsidRPr="00000000">
        <w:rPr>
          <w:rFonts w:ascii="Garamond" w:cs="Garamond" w:eastAsia="Garamond" w:hAnsi="Garamond"/>
          <w:b w:val="1"/>
          <w:highlight w:val="yellow"/>
          <w:rtl w:val="0"/>
        </w:rPr>
        <w:t xml:space="preserve">000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.</w:t>
      </w:r>
    </w:p>
    <w:p w:rsidR="00000000" w:rsidDel="00000000" w:rsidP="00000000" w:rsidRDefault="00000000" w:rsidRPr="00000000" w14:paraId="0000000C">
      <w:pPr>
        <w:widowControl w:val="0"/>
        <w:spacing w:after="0" w:before="120" w:line="24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Assume la presidenza il signor </w:t>
      </w:r>
      <w:r w:rsidDel="00000000" w:rsidR="00000000" w:rsidRPr="00000000">
        <w:rPr>
          <w:rFonts w:ascii="Garamond" w:cs="Garamond" w:eastAsia="Garamond" w:hAnsi="Garamond"/>
          <w:highlight w:val="yellow"/>
          <w:rtl w:val="0"/>
        </w:rPr>
        <w:t xml:space="preserve">…………… ………………….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.  </w:t>
      </w:r>
    </w:p>
    <w:p w:rsidR="00000000" w:rsidDel="00000000" w:rsidP="00000000" w:rsidRDefault="00000000" w:rsidRPr="00000000" w14:paraId="0000000D">
      <w:pPr>
        <w:widowControl w:val="0"/>
        <w:spacing w:after="0" w:before="120" w:line="24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Partecipa il Segretario Comunale signor </w:t>
      </w:r>
      <w:r w:rsidDel="00000000" w:rsidR="00000000" w:rsidRPr="00000000">
        <w:rPr>
          <w:rFonts w:ascii="Garamond" w:cs="Garamond" w:eastAsia="Garamond" w:hAnsi="Garamond"/>
          <w:highlight w:val="yellow"/>
          <w:rtl w:val="0"/>
        </w:rPr>
        <w:t xml:space="preserve">…………………… …………………….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.  </w:t>
      </w:r>
    </w:p>
    <w:p w:rsidR="00000000" w:rsidDel="00000000" w:rsidP="00000000" w:rsidRDefault="00000000" w:rsidRPr="00000000" w14:paraId="0000000E">
      <w:pPr>
        <w:widowControl w:val="0"/>
        <w:spacing w:after="0" w:before="120" w:line="24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Il Presidente del Consiglio signor </w:t>
      </w:r>
      <w:r w:rsidDel="00000000" w:rsidR="00000000" w:rsidRPr="00000000">
        <w:rPr>
          <w:rFonts w:ascii="Garamond" w:cs="Garamond" w:eastAsia="Garamond" w:hAnsi="Garamond"/>
          <w:highlight w:val="yellow"/>
          <w:rtl w:val="0"/>
        </w:rPr>
        <w:t xml:space="preserve">………………… …………………………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, constatata la regolarità della convocazione e la validità dell’adunanza per deliberare in </w:t>
      </w: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prima convocazione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, invita il Consiglio a trattare il seguente ordine del giorno:</w:t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Garamond" w:cs="Garamond" w:eastAsia="Garamond" w:hAnsi="Garamond"/>
          <w:i w:val="0"/>
          <w:smallCaps w:val="0"/>
          <w:strike w:val="0"/>
          <w:color w:val="c0504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c0504d"/>
          <w:sz w:val="24"/>
          <w:szCs w:val="24"/>
          <w:u w:val="none"/>
          <w:shd w:fill="auto" w:val="clear"/>
          <w:vertAlign w:val="baseline"/>
          <w:rtl w:val="0"/>
        </w:rPr>
        <w:t xml:space="preserve">conferimento della cittadinanza onoraria al "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c0504d"/>
          <w:sz w:val="24"/>
          <w:szCs w:val="24"/>
          <w:u w:val="none"/>
          <w:shd w:fill="auto" w:val="clear"/>
          <w:vertAlign w:val="baseline"/>
          <w:rtl w:val="0"/>
        </w:rPr>
        <w:t xml:space="preserve">Milite Ignoto - Medaglia d’Oro al Valor Militare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c0504d"/>
          <w:sz w:val="24"/>
          <w:szCs w:val="24"/>
          <w:u w:val="none"/>
          <w:shd w:fill="auto" w:val="clear"/>
          <w:vertAlign w:val="baseline"/>
          <w:rtl w:val="0"/>
        </w:rPr>
        <w:t xml:space="preserve">". Proposta.</w:t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240" w:before="240" w:lineRule="auto"/>
              <w:jc w:val="center"/>
              <w:rPr>
                <w:rFonts w:ascii="Garamond" w:cs="Garamond" w:eastAsia="Garamond" w:hAnsi="Garamond"/>
                <w:sz w:val="28"/>
                <w:szCs w:val="28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8"/>
                <w:szCs w:val="28"/>
                <w:rtl w:val="0"/>
              </w:rPr>
              <w:t xml:space="preserve">Deliberazione del Consiglio Comunale n. </w:t>
            </w:r>
            <w:r w:rsidDel="00000000" w:rsidR="00000000" w:rsidRPr="00000000">
              <w:rPr>
                <w:rFonts w:ascii="Garamond" w:cs="Garamond" w:eastAsia="Garamond" w:hAnsi="Garamond"/>
                <w:sz w:val="28"/>
                <w:szCs w:val="28"/>
                <w:highlight w:val="yellow"/>
                <w:rtl w:val="0"/>
              </w:rPr>
              <w:t xml:space="preserve">…...</w:t>
            </w:r>
            <w:r w:rsidDel="00000000" w:rsidR="00000000" w:rsidRPr="00000000">
              <w:rPr>
                <w:rFonts w:ascii="Garamond" w:cs="Garamond" w:eastAsia="Garamond" w:hAnsi="Garamond"/>
                <w:sz w:val="28"/>
                <w:szCs w:val="28"/>
                <w:rtl w:val="0"/>
              </w:rPr>
              <w:t xml:space="preserve"> del </w:t>
            </w:r>
            <w:r w:rsidDel="00000000" w:rsidR="00000000" w:rsidRPr="00000000">
              <w:rPr>
                <w:rFonts w:ascii="Garamond" w:cs="Garamond" w:eastAsia="Garamond" w:hAnsi="Garamond"/>
                <w:sz w:val="28"/>
                <w:szCs w:val="28"/>
                <w:highlight w:val="yellow"/>
                <w:rtl w:val="0"/>
              </w:rPr>
              <w:t xml:space="preserve">…… ………</w:t>
            </w:r>
            <w:r w:rsidDel="00000000" w:rsidR="00000000" w:rsidRPr="00000000">
              <w:rPr>
                <w:rFonts w:ascii="Garamond" w:cs="Garamond" w:eastAsia="Garamond" w:hAnsi="Garamond"/>
                <w:sz w:val="28"/>
                <w:szCs w:val="28"/>
                <w:rtl w:val="0"/>
              </w:rPr>
              <w:t xml:space="preserve"> 2020.</w:t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after="0" w:line="240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Il Consiglio Comunale di </w:t>
      </w:r>
      <w:r w:rsidDel="00000000" w:rsidR="00000000" w:rsidRPr="00000000">
        <w:rPr>
          <w:rFonts w:ascii="Garamond" w:cs="Garamond" w:eastAsia="Garamond" w:hAnsi="Garamond"/>
          <w:b w:val="1"/>
          <w:highlight w:val="yellow"/>
          <w:rtl w:val="0"/>
        </w:rPr>
        <w:t xml:space="preserve">…………………………………….…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 su proposta del Sindaco, signor </w:t>
      </w:r>
      <w:r w:rsidDel="00000000" w:rsidR="00000000" w:rsidRPr="00000000">
        <w:rPr>
          <w:rFonts w:ascii="Garamond" w:cs="Garamond" w:eastAsia="Garamond" w:hAnsi="Garamond"/>
          <w:b w:val="1"/>
          <w:highlight w:val="yellow"/>
          <w:rtl w:val="0"/>
        </w:rPr>
        <w:t xml:space="preserve">………………………... …………………….…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 ,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6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premesso che: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851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4 agosto 1921, all’unanimità e senza dibattito, il Parlamento approvò la Legge sulla “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Sepoltura della Salma di un Soldato Ignoto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”. Una speciale Commissione di Decorati di Medaglia d’Oro al Valor Militare, ufficiali, sottufficiali, graduati e militari di truppa, individuò i resti di undici Soldati non identificati dai principali campi di battaglia della Grande Guerra: le undici bare furono raccolte nella Basilica di Aquileia, dove il 28 ottobre Maria Bergamas, Madre di Antonio, caduto e disperso, scelse per tutte le Italiane il simbolo di un intero Popolo. La bara giunse a Roma su uno speciale convoglio ferroviario il 2 novembre, dopo avere toccato città e paesi d’Italia ed avere ricevuto il silente omaggio di tutti, senza distinzione di credo, religioso o politico. Il 4 novembre, dalla Basilica di Santa Maria degli Angeli e dei Martiri il feretro, dopo essere stato visitato da decine di migliaia di persone, fu scortato all’Altare della Patria. Portato a spalla da Decorati al Valore, Egli fu tumulato nel monumento ove tuttora il Soldato riposa, incarnazione del 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Valore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della 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Dedizione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del 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Sacrificio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dei suoi Fratelli, Caduti con Lui per la PATRIA;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851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promulgando la legge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11 agosto 1921, n. 1075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 il Parlamento volle dunque esprimere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lo spirito valoriale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 dell’iniziativa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0"/>
        </w:rPr>
        <w:t xml:space="preserve">per la sepoltura in Roma, sull’Altare della Patria, della salma di un soldato ignoto caduto in guerra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a sublimazione del sacrificio e del valore dei Combattenti e degli oltre 650.000 Caduti del primo conflitto mondiale;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851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con Regio Decreto 1° novembre 1921 fu conferita al Milite Ignoto la 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Medaglia d’Oro al Valor Militare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 con la seguente motivazione: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ind w:left="1134" w:right="566" w:firstLine="0"/>
        <w:jc w:val="both"/>
        <w:rPr>
          <w:rFonts w:ascii="Garamond" w:cs="Garamond" w:eastAsia="Garamond" w:hAnsi="Garamond"/>
          <w:b w:val="1"/>
          <w:i w:val="1"/>
          <w:color w:val="c0504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color w:val="c0504d"/>
          <w:sz w:val="20"/>
          <w:szCs w:val="20"/>
          <w:rtl w:val="0"/>
        </w:rPr>
        <w:t xml:space="preserve">“Degno figlio di una stirpe prode e di una millenaria civiltà, resistette inflessibile nelle trincee più contese, prodigò il suo coraggio nelle più cruente battaglie e cadde combattendo senz'altro premio sperare che la vittoria e la grandezza della Patria”.</w:t>
      </w:r>
    </w:p>
    <w:p w:rsidR="00000000" w:rsidDel="00000000" w:rsidP="00000000" w:rsidRDefault="00000000" w:rsidRPr="00000000" w14:paraId="0000001C">
      <w:pPr>
        <w:widowControl w:val="0"/>
        <w:spacing w:after="120" w:line="240" w:lineRule="auto"/>
        <w:ind w:left="357" w:right="566" w:firstLine="0"/>
        <w:jc w:val="right"/>
        <w:rPr>
          <w:rFonts w:ascii="Garamond" w:cs="Garamond" w:eastAsia="Garamond" w:hAnsi="Garamond"/>
          <w:b w:val="1"/>
          <w:i w:val="1"/>
          <w:color w:val="c0504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color w:val="c0504d"/>
          <w:sz w:val="20"/>
          <w:szCs w:val="20"/>
          <w:rtl w:val="0"/>
        </w:rPr>
        <w:t xml:space="preserve">24 maggio 1915 - 4 novembre 1918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851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tali provvedimenti di legge consentirono a tutti gli italiani di identificare affettivamente in quel militare sconosciuto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allora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un familiare caduto in combattimento o disperso in guerra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 successivamente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tutti i Caduti per la Patria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851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4 novembre 2021 sarà celebrato il 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Centenario della traslazione e della solenne tumulazione del Milite Ignoto nel sacello dell’Altare della Patria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ed è auspicabile che a quel valoroso Soldato, inizialmente voluto come “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nessuno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 e poi subito percepito come “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tutti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”, possa oggi essere orgogliosamente attribuita la “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filiale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 appartenenza ad ogni Comune d’Italia;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6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considerato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che la 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cittadinanza onoraria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è un riconoscimento simbolico che il Consiglio comunale può concedere a quanti abbiano sacrificato la propria vita durante i conflitti armati che hanno segnato la storia patria; è una onorificenza concessa ad un individuo, nato in una città diversa, anche non residente, ritenuto legato alla città per il suo impegno o per le sue opere 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(la persona dev'essersi distinta particolarmente nel campo delle scienze, delle lettere, delle arti, dell'industria, del lavoro, della scuola, dello sport, con iniziative di carattere sociale, assistenziale e filantropico od in opere, imprese, realizzazioni, prestazioni in favore degli abitanti del comune, rendendone più alto il prestigio attraverso la loro personale virtù, o in azioni di alto valore a vantaggio della nazione o dell'umanità intera)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6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considerato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che le motivazioni del riconoscimento possono essere la nascita, i riconoscimenti sociali e culturali,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0"/>
        </w:rPr>
        <w:t xml:space="preserve">o uno specifico atto straordinario a cui la città attribuisca particolare rilievo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6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tenuto conto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che l’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Associazione Nazionale dei Comuni Italiani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(ANCI)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ha segnalato ai Sindaci di tutti Comuni Italiani le iniziative promosse a vario titolo in occasione del centenario del Milite Ignoto;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6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tenuto conto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che in data 2020.09.16 il Presidente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ANCI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ha scritto ai Sindaci dei Comuni capoluogo di Provincia (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prot. n. 93/SIPRICS/AR/mcc-20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per segnalare in particolare l’iniziativa commemorativa inizialmente promossa dal 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Gruppo delle Medaglie d’oro al Valor Militare d’Italia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finalizzata alla possibilità di conferire al Milite Ignoto in ciascun Comune d’Italia la cittadinanza onoraria;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6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tenuto conto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che la proposta del Sindaco all’attenzione di questo Consiglio presenta una sua specificità e ben si integra con i suggerimenti avanzati da altre associazioni e gruppi sociali operanti nel territorio;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6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tenuto inoltre conto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che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……… 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c0504d"/>
          <w:sz w:val="22"/>
          <w:szCs w:val="22"/>
          <w:highlight w:val="yellow"/>
          <w:u w:val="none"/>
          <w:vertAlign w:val="baseline"/>
          <w:rtl w:val="0"/>
        </w:rPr>
        <w:t xml:space="preserve">(eventuale)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c0504d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… …………………………………………………………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6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dato atto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che la presente proposta di deliberazione NON comporta alcun onere economico a carico dell’Ente;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6" w:right="0" w:hanging="36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visto il D. Lgs. n. 267/2000 e s.m.i. ;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6" w:right="0" w:hanging="36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visto lo Statuto comunale;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6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acquisiti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 pareri di competenza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……………………… ……………………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,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dopo ampia ed approfondita discussione, il Consiglio comunale aderisce all’iniziativa proposta ed all’unanimità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DELIBERA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14" w:right="0" w:hanging="357"/>
        <w:jc w:val="both"/>
        <w:rPr>
          <w:rFonts w:ascii="Garamond" w:cs="Garamond" w:eastAsia="Garamond" w:hAnsi="Garamond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conferire al “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Milite Ignoto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 la Cittadinanza Onoraria di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…………………….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per le ragioni descritte in premessa;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14" w:right="0" w:hanging="357"/>
        <w:jc w:val="both"/>
        <w:rPr>
          <w:rFonts w:ascii="Garamond" w:cs="Garamond" w:eastAsia="Garamond" w:hAnsi="Garamond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demandare alla Giunta comunale eventuali ulteriori iniziative commemorative;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14" w:right="0" w:hanging="357"/>
        <w:jc w:val="both"/>
        <w:rPr>
          <w:rFonts w:ascii="Garamond" w:cs="Garamond" w:eastAsia="Garamond" w:hAnsi="Garamond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trasmettere copia del presente atto amministrativo  - per opportuna conoscenza -  alle seguenti Autorità ed Enti: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signor Presidente della Repubblica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Palazzo del Quirinale - 00187 ROMA - 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protocollo.centrale@pec.quirinale.it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signor Ministro della Difesa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 XX Settembre, 8 - 00187 ROMA - 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udc@postacert.difesa.it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signor Capo di Stato Maggiore della Difesa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 XX Settembre, 8 - 00187 ROMA - 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statesercito@postacert.difesa.it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signor Prefetto di …………… - 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protocollo.pref............@pec.interno.it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signor Presidente dell’Associazione Nazionale Comuni Italiani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 dei Prefetti, 46 - 00186 ROMA - 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amministrazione@pec.anci.it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signor Commissario Generale per le Onoranze ai Caduti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piazza della Marina, 4 - 00196 ROMA - 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onorcaduti@postacert.difesa.it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signor Presidente del Gruppo delle Medaglie d’Oro al Valor Militare d’Italia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 dell’Amba Aradam, 14/c - 00184 ROMA - 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gruppo@pec.movm.it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14" w:right="0" w:hanging="357"/>
        <w:jc w:val="both"/>
        <w:rPr>
          <w:rFonts w:ascii="Garamond" w:cs="Garamond" w:eastAsia="Garamond" w:hAnsi="Garamond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dichiarare il presente atto amministrativo immediatamente eseguibile.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1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0"/>
        </w:rPr>
        <w:t xml:space="preserve">(omissis) ---- </w:t>
      </w:r>
    </w:p>
    <w:sectPr>
      <w:pgSz w:h="16838" w:w="11906"/>
      <w:pgMar w:bottom="1403" w:top="1305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ambria"/>
  <w:font w:name="Georgia"/>
  <w:font w:name="Garamond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–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☞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b w:val="1"/>
        <w:i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